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Default Extension="png" ContentType="image/png"/>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extended-properties" Target="docProps/app.xml" Id="R2cb175d062374c92" /><Relationship Type="http://schemas.openxmlformats.org/package/2006/relationships/metadata/core-properties" Target="package/services/metadata/core-properties/05fe2238789a4c72bcf4fcdbdaf383cf.psmdcp" Id="R34af72c7d7d54f89"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r="http://schemas.openxmlformats.org/officeDocument/2006/relationships" mc:Ignorable="w14 wp14">
  <w:body>
    <w:p xmlns:wp14="http://schemas.microsoft.com/office/word/2010/wordml" w14:paraId="672A6659" wp14:textId="77777777">
      <w:pPr>
        <w:suppressAutoHyphens w:val="true"/>
        <w:spacing w:before="0" w:after="0" w:line="240"/>
        <w:ind w:left="0" w:right="0" w:firstLine="0"/>
        <w:jc w:val="left"/>
        <w:rPr>
          <w:rFonts w:ascii="Times New Roman" w:hAnsi="Times New Roman" w:eastAsia="Times New Roman" w:cs="Times New Roman"/>
          <w:color w:val="auto"/>
          <w:spacing w:val="0"/>
          <w:position w:val="0"/>
          <w:sz w:val="24"/>
          <w:shd w:val="clear" w:fill="auto"/>
        </w:rPr>
      </w:pPr>
    </w:p>
    <w:p w:rsidR="48B16A4F" w:rsidP="48B16A4F" w:rsidRDefault="48B16A4F" w14:paraId="21677259" w14:textId="64BD08AD">
      <w:pPr>
        <w:spacing w:after="160" w:line="259" w:lineRule="auto"/>
        <w:jc w:val="center"/>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TERMO DE REFERÊNCIA</w:t>
      </w:r>
    </w:p>
    <w:p w:rsidR="48B16A4F" w:rsidP="48B16A4F" w:rsidRDefault="48B16A4F" w14:paraId="606A6695" w14:textId="00EA4692">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3E846D8B" w14:textId="5EC6F49C">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7B7B1DA1" w14:textId="69F2CAA6">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 UNIDADE REQUISITANTE: Diretoria Geral</w:t>
      </w:r>
    </w:p>
    <w:p w:rsidR="48B16A4F" w:rsidP="48B16A4F" w:rsidRDefault="48B16A4F" w14:paraId="6EF5422A" w14:textId="58777324">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1C03A6A1" w14:textId="3C1C618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4E27A6AB" w14:textId="21A161B5">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2. OBJETO: Contratação de Empresa para prestação dos serviços de manutenção preventiva no telhado do prédio da Câmara Municipal, reconstrução de parte da Sanca do teto do hall da escada no 2º piso, substituição das placas de gesso rachadas no mesmo local, e troca das lâmpadas queimadas existentes na Sanca do teto do hall da escada no 2º piso com revisão da elétrica.</w:t>
      </w:r>
    </w:p>
    <w:p w:rsidR="48B16A4F" w:rsidP="48B16A4F" w:rsidRDefault="48B16A4F" w14:paraId="48008528" w14:textId="2B5F5B5D">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5145AED1" w14:textId="6EB66B69">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30D90BB4" w14:textId="0BAC0C0C">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3. DA JUSTIFICATIVA:</w:t>
      </w:r>
    </w:p>
    <w:p w:rsidR="48B16A4F" w:rsidP="48B16A4F" w:rsidRDefault="48B16A4F" w14:paraId="6C0ECBF7" w14:textId="3A964928">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2D849557" w14:textId="6C88B2E3">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Os serviços apresentados na demanda se fazem necessários para a preservação do prédio, uma vez que com as constantes chuvas e ventos fortes causam transtornos no telhado, ou seja, quebra de telhas, deslocamento de telhas, entupimento das calhas de escoamento de água, obstrução dos dutos de saída de água (buzinotes), devido as folhas de palmeira, resíduos de emboço e telhas quebradas que provocam bloqueio nas saídas de água. Também precisa ser feito com urgência a troca das sancas e placas de gesso que se encontram rachadas, correndo o risco de desprendimento do teto, assim como demais serviços constantes da demanda precisam ser feitos para garantir a segurança do imóvel, sendo uma das medidas preventivas protegendo de certa forma os nossos Servidores e Vereadores no ambiente de trabalho, assim como demais visitantes e evitar uma maior deterioração do mesmo.</w:t>
      </w:r>
    </w:p>
    <w:p w:rsidR="48B16A4F" w:rsidP="48B16A4F" w:rsidRDefault="48B16A4F" w14:paraId="7E6B4A59" w14:textId="3B63E585">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24C31E54" w14:textId="0DE3157A">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Diante ao exposto, resta justificado a contratação de empresa para realização dos serviços de manutenção preventiva para os fins descritos, objetivando a preservação do patrimônio público.</w:t>
      </w:r>
    </w:p>
    <w:p w:rsidR="48B16A4F" w:rsidP="48B16A4F" w:rsidRDefault="48B16A4F" w14:paraId="3215E5E1" w14:textId="5C9DD219">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33AF66A5" w:rsidRDefault="48B16A4F" w14:paraId="5833E1F0" w14:textId="379CCD92">
      <w:pPr>
        <w:spacing w:after="160" w:line="259" w:lineRule="auto"/>
        <w:rPr>
          <w:rFonts w:ascii="Arial" w:hAnsi="Arial" w:eastAsia="Arial" w:cs="Arial"/>
          <w:b w:val="0"/>
          <w:bCs w:val="0"/>
          <w:i w:val="0"/>
          <w:iCs w:val="0"/>
          <w:caps w:val="0"/>
          <w:smallCaps w:val="0"/>
          <w:sz w:val="24"/>
          <w:szCs w:val="24"/>
        </w:rPr>
      </w:pPr>
      <w:r w:rsidRPr="33AF66A5" w:rsidR="33AF66A5">
        <w:rPr>
          <w:rFonts w:ascii="Arial" w:hAnsi="Arial" w:eastAsia="Arial" w:cs="Arial"/>
          <w:b w:val="1"/>
          <w:bCs w:val="1"/>
          <w:i w:val="0"/>
          <w:iCs w:val="0"/>
          <w:caps w:val="0"/>
          <w:smallCaps w:val="0"/>
          <w:sz w:val="24"/>
          <w:szCs w:val="24"/>
          <w:lang w:val="pt-BR"/>
        </w:rPr>
        <w:t xml:space="preserve"> </w:t>
      </w:r>
    </w:p>
    <w:p w:rsidR="48B16A4F" w:rsidP="48B16A4F" w:rsidRDefault="48B16A4F" w14:paraId="25861332" w14:textId="0DFC6E93">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 DAS ESPECIFICAÇÕES E QUANTITATIVOS</w:t>
      </w:r>
    </w:p>
    <w:p w:rsidR="48B16A4F" w:rsidP="48B16A4F" w:rsidRDefault="48B16A4F" w14:paraId="18BD0BBE" w14:textId="08653E25">
      <w:pPr>
        <w:spacing w:after="160" w:line="259" w:lineRule="auto"/>
        <w:rPr>
          <w:rFonts w:ascii="Arial" w:hAnsi="Arial" w:eastAsia="Arial" w:cs="Arial"/>
          <w:b w:val="0"/>
          <w:bCs w:val="0"/>
          <w:i w:val="0"/>
          <w:iCs w:val="0"/>
          <w:caps w:val="0"/>
          <w:smallCaps w:val="0"/>
          <w:color w:val="000000" w:themeColor="accent6" w:themeTint="FF" w:themeShade="FF"/>
          <w:sz w:val="24"/>
          <w:szCs w:val="24"/>
        </w:rPr>
      </w:pPr>
    </w:p>
    <w:tbl>
      <w:tblPr>
        <w:tblStyle w:val="TableGrid"/>
        <w:tblW w:w="0" w:type="auto"/>
        <w:tblLayout w:type="fixed"/>
        <w:tblLook w:val="06A0" w:firstRow="1" w:lastRow="0" w:firstColumn="1" w:lastColumn="0" w:noHBand="1" w:noVBand="1"/>
      </w:tblPr>
      <w:tblGrid>
        <w:gridCol w:w="810"/>
        <w:gridCol w:w="6465"/>
        <w:gridCol w:w="1740"/>
      </w:tblGrid>
      <w:tr w:rsidR="48B16A4F" w:rsidTr="48B16A4F" w14:paraId="40C1655D">
        <w:trPr>
          <w:trHeight w:val="300"/>
        </w:trPr>
        <w:tc>
          <w:tcPr>
            <w:tcW w:w="810" w:type="dxa"/>
            <w:tcMar>
              <w:left w:w="105" w:type="dxa"/>
              <w:right w:w="105" w:type="dxa"/>
            </w:tcMar>
            <w:vAlign w:val="top"/>
          </w:tcPr>
          <w:p w:rsidR="48B16A4F" w:rsidP="48B16A4F" w:rsidRDefault="48B16A4F" w14:paraId="261EFF80" w14:textId="00218A9C">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Item</w:t>
            </w:r>
          </w:p>
        </w:tc>
        <w:tc>
          <w:tcPr>
            <w:tcW w:w="6465" w:type="dxa"/>
            <w:tcMar>
              <w:left w:w="105" w:type="dxa"/>
              <w:right w:w="105" w:type="dxa"/>
            </w:tcMar>
            <w:vAlign w:val="top"/>
          </w:tcPr>
          <w:p w:rsidR="48B16A4F" w:rsidP="48B16A4F" w:rsidRDefault="48B16A4F" w14:paraId="55542A8A" w14:textId="21EAB19F">
            <w:pPr>
              <w:spacing w:line="259" w:lineRule="auto"/>
              <w:jc w:val="center"/>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Especificação</w:t>
            </w:r>
          </w:p>
        </w:tc>
        <w:tc>
          <w:tcPr>
            <w:tcW w:w="1740" w:type="dxa"/>
            <w:tcMar>
              <w:left w:w="105" w:type="dxa"/>
              <w:right w:w="105" w:type="dxa"/>
            </w:tcMar>
            <w:vAlign w:val="top"/>
          </w:tcPr>
          <w:p w:rsidR="48B16A4F" w:rsidP="48B16A4F" w:rsidRDefault="48B16A4F" w14:paraId="40B8C412" w14:textId="17BBA156">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Quantidade</w:t>
            </w:r>
          </w:p>
        </w:tc>
      </w:tr>
      <w:tr w:rsidR="48B16A4F" w:rsidTr="48B16A4F" w14:paraId="22A1B1D4">
        <w:trPr>
          <w:trHeight w:val="300"/>
        </w:trPr>
        <w:tc>
          <w:tcPr>
            <w:tcW w:w="810" w:type="dxa"/>
            <w:tcMar>
              <w:left w:w="105" w:type="dxa"/>
              <w:right w:w="105" w:type="dxa"/>
            </w:tcMar>
            <w:vAlign w:val="top"/>
          </w:tcPr>
          <w:p w:rsidR="48B16A4F" w:rsidP="48B16A4F" w:rsidRDefault="48B16A4F" w14:paraId="63348233" w14:textId="7E53D19C">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5D8ACCFF" w14:textId="0AC77A29">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26BDB8F6" w14:textId="437E444F">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01</w:t>
            </w:r>
          </w:p>
        </w:tc>
        <w:tc>
          <w:tcPr>
            <w:tcW w:w="6465" w:type="dxa"/>
            <w:tcMar>
              <w:left w:w="105" w:type="dxa"/>
              <w:right w:w="105" w:type="dxa"/>
            </w:tcMar>
            <w:vAlign w:val="top"/>
          </w:tcPr>
          <w:p w:rsidR="48B16A4F" w:rsidP="48B16A4F" w:rsidRDefault="48B16A4F" w14:paraId="5D353E85" w14:textId="687F38AF">
            <w:pPr>
              <w:spacing w:line="259" w:lineRule="auto"/>
              <w:jc w:val="both"/>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limpeza das calhas do telhado da Câmara Municipal com retiradas de lixo (folhas), entulhos, conferência e desobstrução dos dutos (buzinotes) de saída de água e recolocação, alinhamento, e reamarração ou substituição se necessário de telhas que eventualmente estejam fora do lugar e/ou quebrada;</w:t>
            </w:r>
          </w:p>
          <w:p w:rsidR="48B16A4F" w:rsidP="48B16A4F" w:rsidRDefault="48B16A4F" w14:paraId="1FFC3968" w14:textId="16386E5D">
            <w:pPr>
              <w:spacing w:line="259" w:lineRule="auto"/>
              <w:rPr>
                <w:rFonts w:ascii="Arial" w:hAnsi="Arial" w:eastAsia="Arial" w:cs="Arial"/>
                <w:b w:val="0"/>
                <w:bCs w:val="0"/>
                <w:i w:val="0"/>
                <w:iCs w:val="0"/>
                <w:color w:val="000000" w:themeColor="accent6" w:themeTint="FF" w:themeShade="FF"/>
                <w:sz w:val="24"/>
                <w:szCs w:val="24"/>
              </w:rPr>
            </w:pPr>
          </w:p>
        </w:tc>
        <w:tc>
          <w:tcPr>
            <w:tcW w:w="1740" w:type="dxa"/>
            <w:tcMar>
              <w:left w:w="105" w:type="dxa"/>
              <w:right w:w="105" w:type="dxa"/>
            </w:tcMar>
            <w:vAlign w:val="top"/>
          </w:tcPr>
          <w:p w:rsidR="48B16A4F" w:rsidP="48B16A4F" w:rsidRDefault="48B16A4F" w14:paraId="6BB9C3E1" w14:textId="396B7FC9">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6EE2E4DE" w14:textId="72638747">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5DE322F3" w14:textId="7D181AE2">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0939EDC1" w14:textId="49C8EF2E">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01</w:t>
            </w:r>
          </w:p>
        </w:tc>
      </w:tr>
      <w:tr w:rsidR="48B16A4F" w:rsidTr="48B16A4F" w14:paraId="45C4224F">
        <w:trPr>
          <w:trHeight w:val="300"/>
        </w:trPr>
        <w:tc>
          <w:tcPr>
            <w:tcW w:w="810" w:type="dxa"/>
            <w:tcMar>
              <w:left w:w="105" w:type="dxa"/>
              <w:right w:w="105" w:type="dxa"/>
            </w:tcMar>
            <w:vAlign w:val="top"/>
          </w:tcPr>
          <w:p w:rsidR="48B16A4F" w:rsidP="48B16A4F" w:rsidRDefault="48B16A4F" w14:paraId="731BD2A0" w14:textId="5864E18A">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5FB2A06E" w14:textId="0351502B">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5D548E09" w14:textId="213EE2EE">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02</w:t>
            </w:r>
          </w:p>
        </w:tc>
        <w:tc>
          <w:tcPr>
            <w:tcW w:w="6465" w:type="dxa"/>
            <w:tcMar>
              <w:left w:w="105" w:type="dxa"/>
              <w:right w:w="105" w:type="dxa"/>
            </w:tcMar>
            <w:vAlign w:val="top"/>
          </w:tcPr>
          <w:p w:rsidR="48B16A4F" w:rsidP="48B16A4F" w:rsidRDefault="48B16A4F" w14:paraId="07F6B52B" w14:textId="0A22F2FB">
            <w:pPr>
              <w:spacing w:line="259" w:lineRule="auto"/>
              <w:jc w:val="both"/>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reconstrução de parte da Sanca do teto do hall da escada no 2º piso do prédio da Câmara Municipal que apresentou rachadura após as fortes e sucessivas chuvas e substituição das placas de gesso rachadas no mesmo local com amarração das existentes, conforme fotos em anexo;</w:t>
            </w:r>
          </w:p>
          <w:p w:rsidR="48B16A4F" w:rsidP="48B16A4F" w:rsidRDefault="48B16A4F" w14:paraId="6E6689F5" w14:textId="423E106E">
            <w:pPr>
              <w:spacing w:line="259" w:lineRule="auto"/>
              <w:rPr>
                <w:rFonts w:ascii="Arial" w:hAnsi="Arial" w:eastAsia="Arial" w:cs="Arial"/>
                <w:b w:val="0"/>
                <w:bCs w:val="0"/>
                <w:i w:val="0"/>
                <w:iCs w:val="0"/>
                <w:color w:val="000000" w:themeColor="accent6" w:themeTint="FF" w:themeShade="FF"/>
                <w:sz w:val="24"/>
                <w:szCs w:val="24"/>
              </w:rPr>
            </w:pPr>
          </w:p>
        </w:tc>
        <w:tc>
          <w:tcPr>
            <w:tcW w:w="1740" w:type="dxa"/>
            <w:tcMar>
              <w:left w:w="105" w:type="dxa"/>
              <w:right w:w="105" w:type="dxa"/>
            </w:tcMar>
            <w:vAlign w:val="top"/>
          </w:tcPr>
          <w:p w:rsidR="48B16A4F" w:rsidP="48B16A4F" w:rsidRDefault="48B16A4F" w14:paraId="6DF9A2E3" w14:textId="2731951D">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6135491A" w14:textId="5F5B7458">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7CD75E06" w14:textId="4FCC8971">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74D21326" w14:textId="284FD86D">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01</w:t>
            </w:r>
          </w:p>
        </w:tc>
      </w:tr>
      <w:tr w:rsidR="48B16A4F" w:rsidTr="48B16A4F" w14:paraId="4B1C6359">
        <w:trPr>
          <w:trHeight w:val="300"/>
        </w:trPr>
        <w:tc>
          <w:tcPr>
            <w:tcW w:w="810" w:type="dxa"/>
            <w:tcMar>
              <w:left w:w="105" w:type="dxa"/>
              <w:right w:w="105" w:type="dxa"/>
            </w:tcMar>
            <w:vAlign w:val="top"/>
          </w:tcPr>
          <w:p w:rsidR="48B16A4F" w:rsidP="48B16A4F" w:rsidRDefault="48B16A4F" w14:paraId="543A84CB" w14:textId="3D9CFA09">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153354D1" w14:textId="55815C0E">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03</w:t>
            </w:r>
          </w:p>
        </w:tc>
        <w:tc>
          <w:tcPr>
            <w:tcW w:w="6465" w:type="dxa"/>
            <w:tcMar>
              <w:left w:w="105" w:type="dxa"/>
              <w:right w:w="105" w:type="dxa"/>
            </w:tcMar>
            <w:vAlign w:val="top"/>
          </w:tcPr>
          <w:p w:rsidR="48B16A4F" w:rsidP="48B16A4F" w:rsidRDefault="48B16A4F" w14:paraId="4B548A4F" w14:textId="279C2424">
            <w:pPr>
              <w:spacing w:line="259" w:lineRule="auto"/>
              <w:jc w:val="both"/>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troca das lâmpadas queimadas existentes na Sanca do teto do hall da escada no 2º piso do prédio da Câmara Municipal e revisão da elétrica;</w:t>
            </w:r>
          </w:p>
        </w:tc>
        <w:tc>
          <w:tcPr>
            <w:tcW w:w="1740" w:type="dxa"/>
            <w:tcMar>
              <w:left w:w="105" w:type="dxa"/>
              <w:right w:w="105" w:type="dxa"/>
            </w:tcMar>
            <w:vAlign w:val="top"/>
          </w:tcPr>
          <w:p w:rsidR="48B16A4F" w:rsidP="48B16A4F" w:rsidRDefault="48B16A4F" w14:paraId="5B2A0882" w14:textId="0842110A">
            <w:pPr>
              <w:spacing w:line="259" w:lineRule="auto"/>
              <w:rPr>
                <w:rFonts w:ascii="Arial" w:hAnsi="Arial" w:eastAsia="Arial" w:cs="Arial"/>
                <w:b w:val="0"/>
                <w:bCs w:val="0"/>
                <w:i w:val="0"/>
                <w:iCs w:val="0"/>
                <w:color w:val="000000" w:themeColor="accent6" w:themeTint="FF" w:themeShade="FF"/>
                <w:sz w:val="24"/>
                <w:szCs w:val="24"/>
              </w:rPr>
            </w:pPr>
          </w:p>
          <w:p w:rsidR="48B16A4F" w:rsidP="48B16A4F" w:rsidRDefault="48B16A4F" w14:paraId="27E6B67E" w14:textId="5B84D998">
            <w:pPr>
              <w:spacing w:line="259" w:lineRule="auto"/>
              <w:rPr>
                <w:rFonts w:ascii="Arial" w:hAnsi="Arial" w:eastAsia="Arial" w:cs="Arial"/>
                <w:b w:val="0"/>
                <w:bCs w:val="0"/>
                <w:i w:val="0"/>
                <w:iC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01</w:t>
            </w:r>
          </w:p>
        </w:tc>
      </w:tr>
    </w:tbl>
    <w:p w:rsidR="48B16A4F" w:rsidP="48B16A4F" w:rsidRDefault="48B16A4F" w14:paraId="77881D4B" w14:textId="0C20133B">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232BD935" w14:textId="609927AE">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 Especificação Detalhada:</w:t>
      </w:r>
    </w:p>
    <w:p w:rsidR="48B16A4F" w:rsidP="48B16A4F" w:rsidRDefault="48B16A4F" w14:paraId="74F30B13" w14:textId="21D3460C">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779AB360" w14:textId="0223DAC1">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4.1.1. Realizar a limpeza das calhas do telhado com retirada de lixo, ou seja, folhas, restos de emboço e telhas quebradas que provocam entupimento das calhas escoamento de água.</w:t>
      </w:r>
    </w:p>
    <w:p w:rsidR="48B16A4F" w:rsidP="48B16A4F" w:rsidRDefault="48B16A4F" w14:paraId="53C6E6BD" w14:textId="3FE07004">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7AE37F4E" w14:textId="23401D3A">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4.1.2. Conferência e desobstrução dos dutos (buzinotes) de saída de água e recolocação, se for o caso, para evitar a entrada de água na parte interna do prédio, assim como impedir a infiltração de água que possa deteriorar as paredes, sancas e gessos.</w:t>
      </w:r>
    </w:p>
    <w:p w:rsidR="48B16A4F" w:rsidP="48B16A4F" w:rsidRDefault="48B16A4F" w14:paraId="740EC373" w14:textId="30FE3810">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025BC25A" w14:textId="4E06E12F">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4.1.3. Fazer o alinhamento e reamarração com substituição se necessário de telhas que eventualmente estejam fora do lugar e/ou quebradas, para evitar a infiltração de água no telhado.</w:t>
      </w:r>
    </w:p>
    <w:p w:rsidR="48B16A4F" w:rsidP="48B16A4F" w:rsidRDefault="48B16A4F" w14:paraId="1DE866AF" w14:textId="6128E430">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711EEC2F" w14:textId="56A0BE97">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4.1.4. Realizar a reconstrução de parte da Sanca do teto do hall da escada no 2º piso do prédio da Câmara Municipal que apresenta rachadura e substituição das placas de gesso rachadas no mesmo local com amarração das existentes, para evitar que as mesmas possam se desprender do teto.</w:t>
      </w:r>
    </w:p>
    <w:p w:rsidR="48B16A4F" w:rsidP="48B16A4F" w:rsidRDefault="48B16A4F" w14:paraId="551C732E" w14:textId="5CA59362">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7D0E3087" w14:textId="02D17315">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4.1.5. Executar a troca das lâmpadas queimadas existentes na Sanca do teto do hall da escada no 2º piso, assim como da existente no centro do hall, na parte de gesso, e revisão da elétrica.  </w:t>
      </w:r>
    </w:p>
    <w:p w:rsidR="48B16A4F" w:rsidP="48B16A4F" w:rsidRDefault="48B16A4F" w14:paraId="62873F61" w14:textId="4ACC5C96">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444F0930" w14:textId="5C8FC7E1">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4.1.6. A realização dos serviços deverá ser feita por empresa capacitada, com profissionais qualificados.</w:t>
      </w:r>
    </w:p>
    <w:p w:rsidR="48B16A4F" w:rsidP="48B16A4F" w:rsidRDefault="48B16A4F" w14:paraId="2EBD57CA" w14:textId="7B8ABFD1">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4.1.7. Os materiais a serem empregados na manutenção, como telhas, sancas, gessos e outros necessários para reposição, deverão ser fornecidos pela empresa contratada, nas mesmas condições dos existentes. </w:t>
      </w:r>
    </w:p>
    <w:p w:rsidR="48B16A4F" w:rsidP="48B16A4F" w:rsidRDefault="48B16A4F" w14:paraId="68F4D3F0" w14:textId="50ED0FD0">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4.1.8. Havendo necessidade de utilização de andaime e caçamba, o mesmo ficará a cargo da empresa contratada.  </w:t>
      </w:r>
    </w:p>
    <w:p w:rsidR="48B16A4F" w:rsidP="48B16A4F" w:rsidRDefault="48B16A4F" w14:paraId="365C67BD" w14:textId="40207ED4">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4.1.9. Após a realização dos serviços o local deverá ser entregue limpo.</w:t>
      </w:r>
    </w:p>
    <w:p w:rsidR="48B16A4F" w:rsidP="48B16A4F" w:rsidRDefault="48B16A4F" w14:paraId="69C6792B" w14:textId="3DC1C2A4">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4.1.10. Todas as medidas deverão ser tomadas para a preservação do patrimônio, e segurança do local.</w:t>
      </w:r>
    </w:p>
    <w:p w:rsidR="48B16A4F" w:rsidP="48B16A4F" w:rsidRDefault="48B16A4F" w14:paraId="3EE4BC05" w14:textId="14DA13F8">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lang w:val="pt-BR"/>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4.1.11. A visita Técnica para conhecimento das condições de execução do objeto, assim como para elaboração da proposta, é opcional, ficando a cargo dos interessados.</w:t>
      </w:r>
    </w:p>
    <w:p w:rsidR="48B16A4F" w:rsidP="48B16A4F" w:rsidRDefault="48B16A4F" w14:paraId="0D9FEC06" w14:textId="0557A43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4D6CA02F" w14:textId="7499F315">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5. DOS RECURSOS ORÇAMENTÁRIOS.</w:t>
      </w:r>
    </w:p>
    <w:p w:rsidR="48B16A4F" w:rsidP="48B16A4F" w:rsidRDefault="48B16A4F" w14:paraId="2884A499" w14:textId="204A2C85">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5.1. As despesas decorrentes da contratação serão provenientes dos recursos:</w:t>
      </w:r>
    </w:p>
    <w:p w:rsidR="48B16A4F" w:rsidP="48B16A4F" w:rsidRDefault="48B16A4F" w14:paraId="6FD293EE" w14:textId="54473403">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Dotação Orçamentária nº 3.3.90.39.00.00 - Outros Serviços de Terceiros Pessoa Jurídica - exercício de 2023.</w:t>
      </w:r>
    </w:p>
    <w:p w:rsidR="48B16A4F" w:rsidP="48B16A4F" w:rsidRDefault="48B16A4F" w14:paraId="2BF5FCF4" w14:textId="6562950E">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0FC3BDB6" w14:textId="75158E1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6. DA ENTREGA E DO RECEBIMENTO</w:t>
      </w:r>
    </w:p>
    <w:p w:rsidR="48B16A4F" w:rsidP="48B16A4F" w:rsidRDefault="48B16A4F" w14:paraId="74EF20F1" w14:textId="6D860793">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6.1. Quanto à entrega:</w:t>
      </w:r>
    </w:p>
    <w:p w:rsidR="48B16A4F" w:rsidP="48B16A4F" w:rsidRDefault="48B16A4F" w14:paraId="5DCBB0FD" w14:textId="63E16873">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6.1.1. O objeto deverá ser entregue em conformidade com as especificações estabelecidas neste instrumento, utilizando-se o prazo necessário para a realização dos serviços.</w:t>
      </w:r>
    </w:p>
    <w:p w:rsidR="48B16A4F" w:rsidP="48B16A4F" w:rsidRDefault="48B16A4F" w14:paraId="2A9E07FD" w14:textId="541B194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6.2. Quanto ao recebimento:</w:t>
      </w:r>
    </w:p>
    <w:p w:rsidR="48B16A4F" w:rsidP="48B16A4F" w:rsidRDefault="48B16A4F" w14:paraId="11AD9C48" w14:textId="74233541">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6.2.1. PROVISORIAMENTE, posterior verificação da conformidade do objeto com as especificações, devendo ser feito por pessoa credenciada pela contratante.</w:t>
      </w:r>
    </w:p>
    <w:p w:rsidR="48B16A4F" w:rsidP="48B16A4F" w:rsidRDefault="48B16A4F" w14:paraId="3AFA06EE" w14:textId="7C5A9603">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6.2.2. DEFINITIVAMENTE, após verificação da qualidade e da quantidade do objeto, certificando-se de que todas as condições estabelecidas foram atendidas, e, consequente aceitação das notas fiscais pelo gestor da contratação, devendo haver rejeição no caso de desconformidade.</w:t>
      </w:r>
    </w:p>
    <w:p w:rsidR="48B16A4F" w:rsidP="48B16A4F" w:rsidRDefault="48B16A4F" w14:paraId="2A703AB3" w14:textId="1397384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2C5895AA" w14:textId="05879D45">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7. DO PAGAMENTO</w:t>
      </w:r>
    </w:p>
    <w:p w:rsidR="48B16A4F" w:rsidP="48B16A4F" w:rsidRDefault="48B16A4F" w14:paraId="035BAA6B" w14:textId="20735FA9">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7.1. O pagamento será efetuado até o 5º (quinto) dia útil contados da data da apresentação da nota fiscal/fatura devidamente atestada pelo fiscal e gestor da contratação, posterior a entrega do objeto, mediante crédito em conta corrente em nome da contratada.</w:t>
      </w:r>
    </w:p>
    <w:p w:rsidR="48B16A4F" w:rsidP="48B16A4F" w:rsidRDefault="48B16A4F" w14:paraId="78487B50" w14:textId="7537BFC0">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7.2. No caso de atraso de pagamento, desde que a contratada não tenha concorrido de alguma forma para tanto, serão devidos pela contratante encargos moratórios conforme legislação vigente.</w:t>
      </w:r>
    </w:p>
    <w:p w:rsidR="48B16A4F" w:rsidP="48B16A4F" w:rsidRDefault="48B16A4F" w14:paraId="307E163A" w14:textId="2AD1DB77">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0A143B9C" w14:textId="7071E944">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7.3. A nota fiscal para pagamento deverá ser acompanhada das certidões negativas conforme segue: CND de Tributos Federais, CND da Fazenda Estadual, acompanhada da CND da Dívida Ativa emitida pela PGE, CND Municipal, CND Trabalhista, FGTS.</w:t>
      </w:r>
    </w:p>
    <w:p w:rsidR="48B16A4F" w:rsidP="48B16A4F" w:rsidRDefault="48B16A4F" w14:paraId="69B3AEF8" w14:textId="06F697D4">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7.4. As certidões negativas poderão ser dispensadas em parte ou no total, conforme o artigo 70 da Lei federal nº 14.133/21.</w:t>
      </w:r>
    </w:p>
    <w:p w:rsidR="48B16A4F" w:rsidP="48B16A4F" w:rsidRDefault="48B16A4F" w14:paraId="4D887F7D" w14:textId="064384D7">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2783D130" w14:textId="6E6AFC1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8. DAS SANÇÕES ADMINISTRATIVAS</w:t>
      </w:r>
    </w:p>
    <w:p w:rsidR="48B16A4F" w:rsidP="48B16A4F" w:rsidRDefault="48B16A4F" w14:paraId="02A6B8C2" w14:textId="70E34561">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8.1. No caso de inadimplemento de suas obrigações, a contratada estará sujeita, sem prejuízo das sanções legais nas esferas civil e criminal, às penalidades constantes na Lei Federal nº 14.133/21.</w:t>
      </w:r>
    </w:p>
    <w:p w:rsidR="48B16A4F" w:rsidP="48B16A4F" w:rsidRDefault="48B16A4F" w14:paraId="07C1026C" w14:textId="26D409FC">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8.2. Nenhuma sanção será aplicada sem garantia da ampla defesa e contraditório, na forma da lei federal nº 14.133/21.</w:t>
      </w:r>
    </w:p>
    <w:p w:rsidR="48B16A4F" w:rsidP="48B16A4F" w:rsidRDefault="48B16A4F" w14:paraId="7CCE4713" w14:textId="0B21D056">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5363C6C3" w14:textId="2036F479">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 DAS OBRIGAÇÕES DA CONTRATADA</w:t>
      </w:r>
    </w:p>
    <w:p w:rsidR="48B16A4F" w:rsidP="48B16A4F" w:rsidRDefault="48B16A4F" w14:paraId="2D2F60FD" w14:textId="4E0171BB">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9.1. Executar o objeto em conformidade com as condições deste instrumento.</w:t>
      </w:r>
    </w:p>
    <w:p w:rsidR="48B16A4F" w:rsidP="48B16A4F" w:rsidRDefault="48B16A4F" w14:paraId="15EB7BFC" w14:textId="33C56752">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9.2. Manter durante toda a execução do objeto, em compatibilidade com as obrigações assumidas, todas as condições de habilitação e qualificação exigidas em licitação.</w:t>
      </w:r>
    </w:p>
    <w:p w:rsidR="48B16A4F" w:rsidP="48B16A4F" w:rsidRDefault="48B16A4F" w14:paraId="462F0BE3" w14:textId="10885767">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9.3. Responsabilizar-se pelos danos causados diretamente à contratante ou a terceiros, decorrentes da sua culpa ou dolo, quando da execução do objeto, não podendo ser arguido para efeito de exclusão ou redução de sua responsabilidade o fato de a contratante proceder à fiscalização ou acompanhar a execução contratual.</w:t>
      </w:r>
    </w:p>
    <w:p w:rsidR="48B16A4F" w:rsidP="48B16A4F" w:rsidRDefault="48B16A4F" w14:paraId="68BB6661" w14:textId="7CDB9BBD">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9.4. Responder por todas as despesas diretas e indiretas que incidam ou venham a incidir sobrea execução do objeto,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A inadimplência da contratada quanto aos encargos trabalhistas, fiscais e comerciais não transfere à contratante a responsabilidade por seu pagamento, nem poderá onerar o objeto do contrato.</w:t>
      </w:r>
    </w:p>
    <w:p w:rsidR="48B16A4F" w:rsidP="48B16A4F" w:rsidRDefault="48B16A4F" w14:paraId="12002DAF" w14:textId="6A71991C">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9.5. Fornecer os materiais necessários para cumprimento do objeto.</w:t>
      </w:r>
    </w:p>
    <w:p w:rsidR="48B16A4F" w:rsidP="48B16A4F" w:rsidRDefault="48B16A4F" w14:paraId="1979D944" w14:textId="2E16B12D">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9.6. Cumprir, quando for o caso, as condições de garantia do objeto, responsabilizando-se pelo período oferecido em sua proposta.</w:t>
      </w:r>
    </w:p>
    <w:p w:rsidR="48B16A4F" w:rsidP="48B16A4F" w:rsidRDefault="48B16A4F" w14:paraId="58B4D9E9" w14:textId="3E6FD773">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9.7. Tomar as medidas necessárias para segurança e preservação do patrimônio.</w:t>
      </w:r>
    </w:p>
    <w:p w:rsidR="48B16A4F" w:rsidP="48B16A4F" w:rsidRDefault="48B16A4F" w14:paraId="3E1015FC" w14:textId="594409F7">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9.8. Apresentar a nota fiscal discriminando os serviços, preço unitário e total, para efeito de pagamento dos serviços prestados.</w:t>
      </w:r>
    </w:p>
    <w:p w:rsidR="48B16A4F" w:rsidP="48B16A4F" w:rsidRDefault="48B16A4F" w14:paraId="0ACF5C23" w14:textId="5351ADE8">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10. DAS OBRIGAÇÕES DA CONTRATANTE</w:t>
      </w:r>
    </w:p>
    <w:p w:rsidR="48B16A4F" w:rsidP="48B16A4F" w:rsidRDefault="48B16A4F" w14:paraId="5FA91F59" w14:textId="5C1BB355">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5E500533" w14:textId="71E5E7CE">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10.1. Solicitar a execução do objeto à contratada através da emissão de ordem de serviço ou instrumento equivalente.</w:t>
      </w:r>
    </w:p>
    <w:p w:rsidR="48B16A4F" w:rsidP="48B16A4F" w:rsidRDefault="48B16A4F" w14:paraId="504CC5DD" w14:textId="526FF395">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10.2. Proporcionar à contratada todas as condições necessárias ao pleno cumprimento das obrigações decorrentes do objeto contratado.</w:t>
      </w:r>
    </w:p>
    <w:p w:rsidR="48B16A4F" w:rsidP="48B16A4F" w:rsidRDefault="48B16A4F" w14:paraId="5EAA53B3" w14:textId="08127E51">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10.3. Fiscalizar a execução do objeto através de sua unidade competente, podendo, em decorrência, solicitar providências da contratada, que atenderá ou justificará de imediato.</w:t>
      </w:r>
    </w:p>
    <w:p w:rsidR="48B16A4F" w:rsidP="48B16A4F" w:rsidRDefault="48B16A4F" w14:paraId="7469F9D5" w14:textId="6E1569E2">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10.4. Notificar a contratada de qualquer irregularidade decorrente da execução do objeto contratado.</w:t>
      </w:r>
    </w:p>
    <w:p w:rsidR="48B16A4F" w:rsidP="48B16A4F" w:rsidRDefault="48B16A4F" w14:paraId="67FE264D" w14:textId="0422B97E">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10.5. Efetuar os pagamentos devidos à contratada nas condições estabelecidas neste Termo.</w:t>
      </w:r>
    </w:p>
    <w:p w:rsidR="48B16A4F" w:rsidP="48B16A4F" w:rsidRDefault="48B16A4F" w14:paraId="31048AB8" w14:textId="5DE41AD1">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10.6. Aplicar as penalidades previstas em lei e neste instrumento.</w:t>
      </w:r>
    </w:p>
    <w:p w:rsidR="48B16A4F" w:rsidP="48B16A4F" w:rsidRDefault="48B16A4F" w14:paraId="50CD5B74" w14:textId="17F4FAB8">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30764C55" w14:textId="6A3A2671">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11. DA FISCALIZAÇÃO</w:t>
      </w:r>
    </w:p>
    <w:p w:rsidR="48B16A4F" w:rsidP="48B16A4F" w:rsidRDefault="48B16A4F" w14:paraId="4D4FA7A2" w14:textId="231508AB">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11.1. A execução do objeto será acompanhada e fiscalizada, por um representante especialmente designado para este fim pela contratante, de acordo com o estabelecido na Lei Federal nº 14.133/21. </w:t>
      </w:r>
    </w:p>
    <w:p w:rsidR="48B16A4F" w:rsidP="48B16A4F" w:rsidRDefault="48B16A4F" w14:paraId="529C5AF3" w14:textId="0D223D0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12. DA GARANTIA</w:t>
      </w:r>
    </w:p>
    <w:p w:rsidR="48B16A4F" w:rsidP="48B16A4F" w:rsidRDefault="48B16A4F" w14:paraId="0B49EB4C" w14:textId="776072D5">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12.1. Não será aplicada a garantia.</w:t>
      </w:r>
    </w:p>
    <w:p w:rsidR="48B16A4F" w:rsidP="48B16A4F" w:rsidRDefault="48B16A4F" w14:paraId="65B7126B" w14:textId="1620702C">
      <w:pPr>
        <w:spacing w:after="160" w:line="259" w:lineRule="auto"/>
        <w:rPr>
          <w:rFonts w:ascii="Arial" w:hAnsi="Arial" w:eastAsia="Arial" w:cs="Arial"/>
          <w:b w:val="0"/>
          <w:bCs w:val="0"/>
          <w:i w:val="0"/>
          <w:iCs w:val="0"/>
          <w:caps w:val="0"/>
          <w:smallCaps w:val="0"/>
          <w:color w:val="000000" w:themeColor="accent6" w:themeTint="FF" w:themeShade="FF"/>
          <w:sz w:val="24"/>
          <w:szCs w:val="24"/>
        </w:rPr>
      </w:pPr>
    </w:p>
    <w:p w:rsidR="48B16A4F" w:rsidP="48B16A4F" w:rsidRDefault="48B16A4F" w14:paraId="46643574" w14:textId="39702367">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13. FUNAMENTAÇÃO LEGAL</w:t>
      </w:r>
    </w:p>
    <w:p w:rsidR="48B16A4F" w:rsidP="48B16A4F" w:rsidRDefault="48B16A4F" w14:paraId="7182500F" w14:textId="01E1366F">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13.1.  A realização dos serviços constantes do objeto será através de Dispensa de Licitação com fulcro no art. 75, II, da Lei Federal nº14.133/21, do tipo MENOR PREÇO, sob regime de execução indireta: Empreitada por preço Global.</w:t>
      </w:r>
    </w:p>
    <w:p w:rsidR="48B16A4F" w:rsidP="48B16A4F" w:rsidRDefault="48B16A4F" w14:paraId="3EA0ABD4" w14:textId="125CB236">
      <w:pPr>
        <w:spacing w:after="160" w:line="259" w:lineRule="auto"/>
        <w:jc w:val="both"/>
        <w:rPr>
          <w:rFonts w:ascii="Arial" w:hAnsi="Arial" w:eastAsia="Arial" w:cs="Arial"/>
          <w:b w:val="0"/>
          <w:bCs w:val="0"/>
          <w:i w:val="0"/>
          <w:iCs w:val="0"/>
          <w:caps w:val="0"/>
          <w:smallCaps w:val="0"/>
          <w:color w:val="000000" w:themeColor="accent6" w:themeTint="FF" w:themeShade="FF"/>
          <w:sz w:val="24"/>
          <w:szCs w:val="24"/>
        </w:rPr>
      </w:pPr>
      <w:r w:rsidRPr="33AF66A5" w:rsidR="33AF66A5">
        <w:rPr>
          <w:rFonts w:ascii="Arial" w:hAnsi="Arial" w:eastAsia="Arial" w:cs="Arial"/>
          <w:b w:val="1"/>
          <w:bCs w:val="1"/>
          <w:i w:val="0"/>
          <w:iCs w:val="0"/>
          <w:caps w:val="0"/>
          <w:smallCaps w:val="0"/>
          <w:sz w:val="24"/>
          <w:szCs w:val="24"/>
          <w:lang w:val="pt-BR"/>
        </w:rPr>
        <w:t xml:space="preserve"> </w:t>
      </w:r>
    </w:p>
    <w:p w:rsidR="48B16A4F" w:rsidP="48B16A4F" w:rsidRDefault="48B16A4F" w14:paraId="41760D0A" w14:textId="0887F98A">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7C39F26E" w14:textId="2660F64F">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w:t>
      </w:r>
    </w:p>
    <w:p w:rsidR="48B16A4F" w:rsidP="48B16A4F" w:rsidRDefault="48B16A4F" w14:paraId="28FADDBC" w14:textId="227A410B">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Jorge Luiz Ermida da Silva                    </w:t>
      </w:r>
      <w:r>
        <w:tab/>
      </w:r>
      <w:r>
        <w:tab/>
      </w:r>
      <w:r w:rsidRPr="48B16A4F" w:rsidR="48B16A4F">
        <w:rPr>
          <w:rFonts w:ascii="Arial" w:hAnsi="Arial" w:eastAsia="Arial" w:cs="Arial"/>
          <w:b w:val="1"/>
          <w:bCs w:val="1"/>
          <w:i w:val="0"/>
          <w:iCs w:val="0"/>
          <w:caps w:val="0"/>
          <w:smallCaps w:val="0"/>
          <w:color w:val="000000" w:themeColor="accent6" w:themeTint="FF" w:themeShade="FF"/>
          <w:sz w:val="24"/>
          <w:szCs w:val="24"/>
          <w:lang w:val="pt-BR"/>
        </w:rPr>
        <w:t>Renato Pereira Mendes</w:t>
      </w:r>
    </w:p>
    <w:p w:rsidR="48B16A4F" w:rsidP="48B16A4F" w:rsidRDefault="48B16A4F" w14:paraId="015FF32E" w14:textId="63FA3CF8">
      <w:pPr>
        <w:spacing w:after="160" w:line="259" w:lineRule="auto"/>
        <w:rPr>
          <w:rFonts w:ascii="Arial" w:hAnsi="Arial" w:eastAsia="Arial" w:cs="Arial"/>
          <w:b w:val="0"/>
          <w:bCs w:val="0"/>
          <w:i w:val="0"/>
          <w:iCs w:val="0"/>
          <w:caps w:val="0"/>
          <w:smallCaps w:val="0"/>
          <w:color w:val="000000" w:themeColor="accent6" w:themeTint="FF" w:themeShade="FF"/>
          <w:sz w:val="24"/>
          <w:szCs w:val="24"/>
        </w:rPr>
      </w:pP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Diretor Licitação</w:t>
      </w:r>
      <w:r>
        <w:tab/>
      </w:r>
      <w:r>
        <w:tab/>
      </w:r>
      <w:r>
        <w:tab/>
      </w:r>
      <w:r>
        <w:tab/>
      </w:r>
      <w:r>
        <w:tab/>
      </w:r>
      <w:r w:rsidRPr="48B16A4F" w:rsidR="48B16A4F">
        <w:rPr>
          <w:rFonts w:ascii="Arial" w:hAnsi="Arial" w:eastAsia="Arial" w:cs="Arial"/>
          <w:b w:val="1"/>
          <w:bCs w:val="1"/>
          <w:i w:val="0"/>
          <w:iCs w:val="0"/>
          <w:caps w:val="0"/>
          <w:smallCaps w:val="0"/>
          <w:color w:val="000000" w:themeColor="accent6" w:themeTint="FF" w:themeShade="FF"/>
          <w:sz w:val="24"/>
          <w:szCs w:val="24"/>
          <w:lang w:val="pt-BR"/>
        </w:rPr>
        <w:t xml:space="preserve">        Diretor Geral</w:t>
      </w:r>
    </w:p>
    <w:p w:rsidR="48B16A4F" w:rsidP="48B16A4F" w:rsidRDefault="48B16A4F" w14:paraId="4D0CC4D5" w14:textId="01DB4E74">
      <w:pPr>
        <w:spacing w:after="160" w:line="259" w:lineRule="auto"/>
        <w:rPr>
          <w:rFonts w:ascii="Arial" w:hAnsi="Arial" w:eastAsia="Arial" w:cs="Arial"/>
          <w:b w:val="1"/>
          <w:bCs w:val="1"/>
          <w:i w:val="0"/>
          <w:iCs w:val="0"/>
          <w:caps w:val="0"/>
          <w:smallCaps w:val="0"/>
          <w:color w:val="000000" w:themeColor="accent6" w:themeTint="FF" w:themeShade="FF"/>
          <w:sz w:val="24"/>
          <w:szCs w:val="24"/>
          <w:lang w:val="pt-BR"/>
        </w:rPr>
      </w:pPr>
    </w:p>
    <w:p w:rsidR="48B16A4F" w:rsidP="48B16A4F" w:rsidRDefault="48B16A4F" w14:paraId="4B693ABE" w14:textId="6BBFA157">
      <w:pPr>
        <w:pStyle w:val="Normal"/>
        <w:spacing w:before="0" w:after="0" w:line="240" w:lineRule="auto"/>
        <w:ind w:left="0" w:right="0" w:firstLine="0"/>
        <w:jc w:val="both"/>
        <w:rPr>
          <w:rFonts w:ascii="ArialMT" w:hAnsi="ArialMT" w:eastAsia="ArialMT" w:cs="ArialMT"/>
          <w:color w:val="000000" w:themeColor="accent6" w:themeTint="FF" w:themeShade="FF"/>
          <w:sz w:val="22"/>
          <w:szCs w:val="22"/>
        </w:rPr>
      </w:pPr>
    </w:p>
    <w:p xmlns:wp14="http://schemas.microsoft.com/office/word/2010/wordml" w14:paraId="62EBF3C5" wp14:textId="77777777">
      <w:pPr>
        <w:suppressAutoHyphens w:val="true"/>
        <w:spacing w:before="0" w:after="0" w:line="240"/>
        <w:ind w:left="0" w:right="0" w:firstLine="0"/>
        <w:jc w:val="both"/>
        <w:rPr>
          <w:rFonts w:ascii="ArialMT" w:hAnsi="ArialMT" w:eastAsia="ArialMT" w:cs="ArialMT"/>
          <w:color w:val="000000"/>
          <w:spacing w:val="0"/>
          <w:position w:val="0"/>
          <w:sz w:val="22"/>
          <w:shd w:val="clear" w:fill="auto"/>
        </w:rPr>
      </w:pPr>
      <w:r>
        <w:rPr>
          <w:rFonts w:ascii="Times New Roman" w:hAnsi="Times New Roman" w:eastAsia="Times New Roman" w:cs="Times New Roman"/>
          <w:color w:val="auto"/>
          <w:spacing w:val="0"/>
          <w:position w:val="0"/>
          <w:sz w:val="24"/>
          <w:shd w:val="clear" w:fill="auto"/>
        </w:rPr>
        <w:br/>
      </w:r>
      <w:r>
        <w:rPr>
          <w:rFonts w:ascii="Times New Roman" w:hAnsi="Times New Roman" w:eastAsia="Times New Roman" w:cs="Times New Roman"/>
          <w:color w:val="auto"/>
          <w:spacing w:val="0"/>
          <w:position w:val="0"/>
          <w:sz w:val="24"/>
          <w:shd w:val="clear" w:fill="auto"/>
        </w:rPr>
        <w:br/>
      </w:r>
    </w:p>
    <w:sectPr>
      <w:pgMar w:top="1440" w:right="1440" w:bottom="1440" w:left="1440"/>
      <w:pgSz w:w="12240" w:h="15840" w:orient="portrait"/>
      <w:cols w:num="1"/>
      <w:headerReference w:type="default" r:id="Rcdd174802f7945bf"/>
      <w:footerReference w:type="default" r:id="R8504af98556b4acb"/>
    </w:sectPr>
  </w:body>
</w:document>
</file>

<file path=word/footer.xml><?xml version="1.0" encoding="utf-8"?>
<w:ftr xmlns:w14="http://schemas.microsoft.com/office/word/2010/wordml" xmlns:w="http://schemas.openxmlformats.org/wordprocessingml/2006/main">
  <w:tbl>
    <w:tblPr>
      <w:tblStyle w:val="TableNormal"/>
      <w:bidiVisual w:val="0"/>
      <w:tblW w:w="9360" w:type="dxa"/>
      <w:tblLayout w:type="fixed"/>
      <w:tblLook w:val="06A0" w:firstRow="1" w:lastRow="0" w:firstColumn="1" w:lastColumn="0" w:noHBand="1" w:noVBand="1"/>
    </w:tblPr>
    <w:tblGrid>
      <w:gridCol w:w="9360"/>
    </w:tblGrid>
    <w:tr w:rsidR="48B16A4F" w:rsidTr="42BCBFE4" w14:paraId="7A67407B">
      <w:trPr>
        <w:trHeight w:val="300"/>
      </w:trPr>
      <w:tc>
        <w:tcPr>
          <w:tcW w:w="9360" w:type="dxa"/>
          <w:tcMar/>
        </w:tcPr>
        <w:p w:rsidR="48B16A4F" w:rsidP="42BCBFE4" w:rsidRDefault="48B16A4F" w14:paraId="0810EE42" w14:textId="5CCFDA2D">
          <w:pPr>
            <w:pStyle w:val="Footer"/>
            <w:tabs>
              <w:tab w:val="clear" w:leader="none" w:pos="4252"/>
              <w:tab w:val="clear" w:leader="none" w:pos="8504"/>
            </w:tabs>
            <w:bidi w:val="0"/>
            <w:spacing w:after="0" w:line="240" w:lineRule="auto"/>
            <w:ind w:left="-567"/>
            <w:jc w:val="center"/>
          </w:pPr>
          <w:r w:rsidRPr="42BCBFE4" w:rsidR="42BCBFE4">
            <w:rPr>
              <w:rFonts w:ascii="Calibri" w:hAnsi="Calibri" w:eastAsia="Calibri" w:cs="Calibri"/>
              <w:b w:val="0"/>
              <w:bCs w:val="0"/>
              <w:i w:val="0"/>
              <w:iCs w:val="0"/>
              <w:caps w:val="0"/>
              <w:smallCaps w:val="0"/>
              <w:color w:val="000000" w:themeColor="accent6" w:themeTint="FF" w:themeShade="FF"/>
              <w:sz w:val="18"/>
              <w:szCs w:val="18"/>
              <w:lang w:val="pt-BR"/>
            </w:rPr>
            <w:t>Rua Barão de Capivari, 20, Centro, Vassouras - RJ - CEP 27.700-000 - Telefone (24)2491-9400 - www.vassouras.rj.leg.br</w:t>
          </w:r>
        </w:p>
        <w:p w:rsidR="48B16A4F" w:rsidP="48B16A4F" w:rsidRDefault="48B16A4F" w14:paraId="77D63471" w14:textId="160E468C">
          <w:pPr>
            <w:pStyle w:val="Header"/>
            <w:bidi w:val="0"/>
            <w:ind w:left="-115"/>
            <w:jc w:val="left"/>
          </w:pPr>
        </w:p>
      </w:tc>
    </w:tr>
  </w:tbl>
  <w:p w:rsidR="48B16A4F" w:rsidP="48B16A4F" w:rsidRDefault="48B16A4F" w14:paraId="57AE5E51" w14:textId="39B0F80F">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120"/>
      <w:gridCol w:w="3120"/>
      <w:gridCol w:w="3120"/>
    </w:tblGrid>
    <w:tr w:rsidR="48B16A4F" w:rsidTr="07C31727" w14:paraId="5D8BA1B3">
      <w:trPr>
        <w:trHeight w:val="300"/>
      </w:trPr>
      <w:tc>
        <w:tcPr>
          <w:tcW w:w="3120" w:type="dxa"/>
          <w:tcMar/>
        </w:tcPr>
        <w:p w:rsidR="07C31727" w:rsidP="07C31727" w:rsidRDefault="07C31727" w14:paraId="2FDA0213" w14:textId="28F2DE22">
          <w:pPr>
            <w:tabs>
              <w:tab w:val="clear" w:leader="none" w:pos="4252"/>
              <w:tab w:val="clear" w:leader="none" w:pos="8504"/>
              <w:tab w:val="right" w:leader="none" w:pos="10631"/>
            </w:tabs>
            <w:bidi w:val="0"/>
            <w:spacing w:after="0" w:line="240" w:lineRule="auto"/>
            <w:ind w:left="-149" w:right="-42"/>
            <w:jc w:val="center"/>
            <w:rPr>
              <w:rFonts w:ascii="Calibri" w:hAnsi="Calibri" w:eastAsia="Calibri" w:cs="Calibri"/>
              <w:b w:val="0"/>
              <w:bCs w:val="0"/>
              <w:i w:val="0"/>
              <w:iCs w:val="0"/>
              <w:caps w:val="0"/>
              <w:smallCaps w:val="0"/>
              <w:color w:val="000000" w:themeColor="accent6" w:themeTint="FF" w:themeShade="FF"/>
              <w:sz w:val="22"/>
              <w:szCs w:val="22"/>
            </w:rPr>
          </w:pPr>
          <w:r>
            <w:drawing>
              <wp:inline wp14:editId="3EF244BE" wp14:anchorId="1DB5A66B">
                <wp:extent cx="857250" cy="904875"/>
                <wp:effectExtent l="0" t="0" r="0" b="0"/>
                <wp:docPr id="252367070" name="" descr="C:\Users\CMVTI02\Desktop\FOLDER\LOGOTIPO\BRASÃO.png" title=""/>
                <wp:cNvGraphicFramePr>
                  <a:graphicFrameLocks noChangeAspect="1"/>
                </wp:cNvGraphicFramePr>
                <a:graphic>
                  <a:graphicData uri="http://schemas.openxmlformats.org/drawingml/2006/picture">
                    <pic:pic>
                      <pic:nvPicPr>
                        <pic:cNvPr id="0" name=""/>
                        <pic:cNvPicPr/>
                      </pic:nvPicPr>
                      <pic:blipFill>
                        <a:blip r:embed="R0c72a008c12148ae">
                          <a:extLst>
                            <a:ext xmlns:a="http://schemas.openxmlformats.org/drawingml/2006/main" uri="{28A0092B-C50C-407E-A947-70E740481C1C}">
                              <a14:useLocalDpi val="0"/>
                            </a:ext>
                          </a:extLst>
                        </a:blip>
                        <a:stretch>
                          <a:fillRect/>
                        </a:stretch>
                      </pic:blipFill>
                      <pic:spPr>
                        <a:xfrm>
                          <a:off x="0" y="0"/>
                          <a:ext cx="857250" cy="904875"/>
                        </a:xfrm>
                        <a:prstGeom prst="rect">
                          <a:avLst/>
                        </a:prstGeom>
                      </pic:spPr>
                    </pic:pic>
                  </a:graphicData>
                </a:graphic>
              </wp:inline>
            </w:drawing>
          </w:r>
        </w:p>
      </w:tc>
      <w:tc>
        <w:tcPr>
          <w:tcW w:w="3120" w:type="dxa"/>
          <w:tcMar/>
        </w:tcPr>
        <w:p w:rsidR="07C31727" w:rsidP="07C31727" w:rsidRDefault="07C31727" w14:paraId="0F72F208" w14:textId="660C167B">
          <w:pPr>
            <w:tabs>
              <w:tab w:val="center" w:leader="none" w:pos="4252"/>
              <w:tab w:val="right" w:leader="none" w:pos="8504"/>
            </w:tabs>
            <w:bidi w:val="0"/>
            <w:spacing w:after="0" w:line="240" w:lineRule="auto"/>
            <w:jc w:val="center"/>
            <w:rPr>
              <w:rFonts w:ascii="Calibri" w:hAnsi="Calibri" w:eastAsia="Calibri" w:cs="Calibri"/>
              <w:b w:val="0"/>
              <w:bCs w:val="0"/>
              <w:i w:val="0"/>
              <w:iCs w:val="0"/>
              <w:caps w:val="0"/>
              <w:smallCaps w:val="0"/>
              <w:color w:val="000000" w:themeColor="accent6" w:themeTint="FF" w:themeShade="FF"/>
              <w:sz w:val="22"/>
              <w:szCs w:val="22"/>
            </w:rPr>
          </w:pPr>
        </w:p>
        <w:p w:rsidR="07C31727" w:rsidP="07C31727" w:rsidRDefault="07C31727" w14:paraId="7549B926" w14:textId="72EB5F30">
          <w:pPr>
            <w:tabs>
              <w:tab w:val="center" w:leader="none" w:pos="4252"/>
              <w:tab w:val="right" w:leader="none" w:pos="8504"/>
            </w:tabs>
            <w:bidi w:val="0"/>
            <w:spacing w:after="0" w:line="240" w:lineRule="auto"/>
            <w:jc w:val="center"/>
            <w:rPr>
              <w:rFonts w:ascii="Calibri" w:hAnsi="Calibri" w:eastAsia="Calibri" w:cs="Calibri"/>
              <w:b w:val="0"/>
              <w:bCs w:val="0"/>
              <w:i w:val="0"/>
              <w:iCs w:val="0"/>
              <w:caps w:val="0"/>
              <w:smallCaps w:val="0"/>
              <w:color w:val="000000" w:themeColor="accent6" w:themeTint="FF" w:themeShade="FF"/>
              <w:sz w:val="18"/>
              <w:szCs w:val="18"/>
            </w:rPr>
          </w:pPr>
        </w:p>
        <w:p w:rsidR="07C31727" w:rsidP="07C31727" w:rsidRDefault="07C31727" w14:paraId="5746E2FB" w14:textId="542E96A1">
          <w:pPr>
            <w:pStyle w:val="Header"/>
            <w:tabs>
              <w:tab w:val="clear" w:leader="none" w:pos="4252"/>
              <w:tab w:val="clear" w:leader="none" w:pos="8504"/>
            </w:tabs>
            <w:bidi w:val="0"/>
            <w:spacing w:after="0" w:line="240" w:lineRule="auto"/>
            <w:jc w:val="center"/>
            <w:rPr>
              <w:rFonts w:ascii="Calibri" w:hAnsi="Calibri" w:eastAsia="Calibri" w:cs="Calibri"/>
              <w:b w:val="0"/>
              <w:bCs w:val="0"/>
              <w:i w:val="0"/>
              <w:iCs w:val="0"/>
              <w:caps w:val="0"/>
              <w:smallCaps w:val="0"/>
              <w:color w:val="000000" w:themeColor="accent6" w:themeTint="FF" w:themeShade="FF"/>
              <w:sz w:val="22"/>
              <w:szCs w:val="22"/>
            </w:rPr>
          </w:pPr>
          <w:r w:rsidRPr="07C31727" w:rsidR="07C31727">
            <w:rPr>
              <w:rFonts w:ascii="Calibri" w:hAnsi="Calibri" w:eastAsia="Calibri" w:cs="Calibri"/>
              <w:b w:val="1"/>
              <w:bCs w:val="1"/>
              <w:i w:val="0"/>
              <w:iCs w:val="0"/>
              <w:caps w:val="0"/>
              <w:smallCaps w:val="0"/>
              <w:color w:val="000000" w:themeColor="accent6" w:themeTint="FF" w:themeShade="FF"/>
              <w:sz w:val="22"/>
              <w:szCs w:val="22"/>
              <w:lang w:val="pt-BR"/>
            </w:rPr>
            <w:t>ESTADO DO RIO DE JANEIRO</w:t>
          </w:r>
        </w:p>
        <w:p w:rsidR="07C31727" w:rsidP="07C31727" w:rsidRDefault="07C31727" w14:paraId="253E0F06" w14:textId="7FF4FD77">
          <w:pPr>
            <w:pStyle w:val="Header"/>
            <w:tabs>
              <w:tab w:val="clear" w:leader="none" w:pos="4252"/>
              <w:tab w:val="clear" w:leader="none" w:pos="8504"/>
            </w:tabs>
            <w:bidi w:val="0"/>
            <w:spacing w:after="0" w:line="240" w:lineRule="auto"/>
            <w:jc w:val="center"/>
            <w:rPr>
              <w:rFonts w:ascii="Calibri" w:hAnsi="Calibri" w:eastAsia="Calibri" w:cs="Calibri"/>
              <w:b w:val="0"/>
              <w:bCs w:val="0"/>
              <w:i w:val="0"/>
              <w:iCs w:val="0"/>
              <w:caps w:val="0"/>
              <w:smallCaps w:val="0"/>
              <w:color w:val="000000" w:themeColor="accent6" w:themeTint="FF" w:themeShade="FF"/>
              <w:sz w:val="22"/>
              <w:szCs w:val="22"/>
            </w:rPr>
          </w:pPr>
          <w:r w:rsidRPr="07C31727" w:rsidR="07C31727">
            <w:rPr>
              <w:rFonts w:ascii="Calibri" w:hAnsi="Calibri" w:eastAsia="Calibri" w:cs="Calibri"/>
              <w:b w:val="1"/>
              <w:bCs w:val="1"/>
              <w:i w:val="0"/>
              <w:iCs w:val="0"/>
              <w:caps w:val="0"/>
              <w:smallCaps w:val="0"/>
              <w:color w:val="000000" w:themeColor="accent6" w:themeTint="FF" w:themeShade="FF"/>
              <w:sz w:val="22"/>
              <w:szCs w:val="22"/>
              <w:lang w:val="pt-BR"/>
            </w:rPr>
            <w:t>CÂMARA MUNICIPAL DE VASSOURAS</w:t>
          </w:r>
        </w:p>
      </w:tc>
      <w:tc>
        <w:tcPr>
          <w:tcW w:w="3120" w:type="dxa"/>
          <w:tcMar/>
        </w:tcPr>
        <w:p w:rsidR="07C31727" w:rsidP="07C31727" w:rsidRDefault="07C31727" w14:paraId="6A246B4C" w14:textId="75AE04A2">
          <w:pPr>
            <w:bidi w:val="0"/>
            <w:spacing w:after="0" w:line="240" w:lineRule="auto"/>
            <w:ind w:firstLine="34"/>
            <w:jc w:val="right"/>
            <w:rPr>
              <w:rFonts w:ascii="Times New Roman" w:hAnsi="Times New Roman" w:eastAsia="Times New Roman" w:cs="Times New Roman"/>
              <w:b w:val="0"/>
              <w:bCs w:val="0"/>
              <w:i w:val="0"/>
              <w:iCs w:val="0"/>
              <w:caps w:val="0"/>
              <w:smallCaps w:val="0"/>
              <w:color w:val="000000" w:themeColor="accent6" w:themeTint="FF" w:themeShade="FF"/>
              <w:sz w:val="24"/>
              <w:szCs w:val="24"/>
            </w:rPr>
          </w:pPr>
          <w:r>
            <w:drawing>
              <wp:inline wp14:editId="0388FA12" wp14:anchorId="6EB61E26">
                <wp:extent cx="742950" cy="914400"/>
                <wp:effectExtent l="0" t="0" r="0" b="0"/>
                <wp:docPr id="865329585" name="" descr="C:\Users\CMVTI02\Desktop\FOLDER\LOGOTIPO\LOGO PRETO.png" title=""/>
                <wp:cNvGraphicFramePr>
                  <a:graphicFrameLocks noChangeAspect="1"/>
                </wp:cNvGraphicFramePr>
                <a:graphic>
                  <a:graphicData uri="http://schemas.openxmlformats.org/drawingml/2006/picture">
                    <pic:pic>
                      <pic:nvPicPr>
                        <pic:cNvPr id="0" name=""/>
                        <pic:cNvPicPr/>
                      </pic:nvPicPr>
                      <pic:blipFill>
                        <a:blip r:embed="R2c441e7525004ef8">
                          <a:extLst>
                            <a:ext xmlns:a="http://schemas.openxmlformats.org/drawingml/2006/main" uri="{28A0092B-C50C-407E-A947-70E740481C1C}">
                              <a14:useLocalDpi val="0"/>
                            </a:ext>
                          </a:extLst>
                        </a:blip>
                        <a:stretch>
                          <a:fillRect/>
                        </a:stretch>
                      </pic:blipFill>
                      <pic:spPr>
                        <a:xfrm>
                          <a:off x="0" y="0"/>
                          <a:ext cx="742950" cy="914400"/>
                        </a:xfrm>
                        <a:prstGeom prst="rect">
                          <a:avLst/>
                        </a:prstGeom>
                      </pic:spPr>
                    </pic:pic>
                  </a:graphicData>
                </a:graphic>
              </wp:inline>
            </w:drawing>
          </w:r>
        </w:p>
      </w:tc>
    </w:tr>
  </w:tbl>
  <w:p w:rsidR="48B16A4F" w:rsidP="48B16A4F" w:rsidRDefault="48B16A4F" w14:paraId="7E44E863" w14:textId="72B31750">
    <w:pPr>
      <w:pStyle w:val="Header"/>
      <w:bidi w:val="0"/>
    </w:pPr>
  </w:p>
</w:hdr>
</file>

<file path=word/numbering.xml><?xml version="1.0" encoding="utf-8"?>
<w:numbering xmlns:w="http://schemas.openxmlformats.org/wordprocessingml/2006/main">
  <w:abstractNum w:abstractNumId="0">
    <w:lvl w:ilvl="0">
      <w:start w:val="1"/>
      <w:numFmt w:val="bullet"/>
      <w:lvlText w:val="•"/>
    </w:lvl>
    <w:nsid w:val="685fd0d"/>
  </w:abstractNum>
  <w:abstractNum w:abstractNumId="6">
    <w:lvl w:ilvl="0">
      <w:start w:val="1"/>
      <w:numFmt w:val="bullet"/>
      <w:lvlText w:val="•"/>
    </w:lvl>
    <w:nsid w:val="7d49023c"/>
  </w:abstractNum>
  <w:abstractNum w:abstractNumId="12">
    <w:lvl w:ilvl="0">
      <w:start w:val="1"/>
      <w:numFmt w:val="bullet"/>
      <w:lvlText w:val="•"/>
    </w:lvl>
    <w:nsid w:val="68884a25"/>
  </w:abstractNum>
  <w:num w:numId="12">
    <w:abstractNumId w:val="12"/>
  </w:num>
  <w:num w:numId="14">
    <w:abstractNumId w:val="6"/>
  </w:num>
  <w:num w:numId="16">
    <w:abstractNumId w:val="0"/>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rsids>
    <w:rsidRoot w:val="48B16A4F"/>
    <w:rsid w:val="07C31727"/>
    <w:rsid w:val="33AF66A5"/>
    <w:rsid w:val="42BCBFE4"/>
    <w:rsid w:val="48B16A4F"/>
  </w:rsids>
  <w14:docId w14:val="6D8A334D"/>
  <w15:docId w15:val="{D526B64E-0BD3-42E3-8750-ACD7E1ACD19A}"/>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numbering" Target="numbering.xml" Id="docRId0" /><Relationship Type="http://schemas.openxmlformats.org/officeDocument/2006/relationships/styles" Target="styles.xml" Id="docRId1" /><Relationship Type="http://schemas.openxmlformats.org/officeDocument/2006/relationships/settings" Target="settings.xml" Id="Reee29312c92740b5" /><Relationship Type="http://schemas.openxmlformats.org/officeDocument/2006/relationships/header" Target="header.xml" Id="Rcdd174802f7945bf" /><Relationship Type="http://schemas.openxmlformats.org/officeDocument/2006/relationships/footer" Target="footer.xml" Id="R8504af98556b4acb" /></Relationships>
</file>

<file path=word/_rels/header.xml.rels>&#65279;<?xml version="1.0" encoding="utf-8"?><Relationships xmlns="http://schemas.openxmlformats.org/package/2006/relationships"><Relationship Type="http://schemas.openxmlformats.org/officeDocument/2006/relationships/image" Target="/media/image.png" Id="R0c72a008c12148ae" /><Relationship Type="http://schemas.openxmlformats.org/officeDocument/2006/relationships/image" Target="/media/image2.png" Id="R2c441e7525004ef8"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